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84954">
      <w:pPr>
        <w:ind w:firstLine="284"/>
        <w:jc w:val="right"/>
        <w:rPr>
          <w:rFonts w:ascii="Times New Roman CYR" w:hAnsi="Times New Roman CYR"/>
          <w:sz w:val="20"/>
        </w:rPr>
      </w:pPr>
      <w:bookmarkStart w:id="0" w:name="_GoBack"/>
      <w:bookmarkEnd w:id="0"/>
      <w:r>
        <w:rPr>
          <w:rFonts w:ascii="Times New Roman CYR" w:hAnsi="Times New Roman CYR"/>
          <w:sz w:val="20"/>
        </w:rPr>
        <w:t>ГОСТ 12.2.007.3-75*</w:t>
      </w:r>
    </w:p>
    <w:p w:rsidR="00000000" w:rsidRDefault="00684954">
      <w:pPr>
        <w:ind w:firstLine="284"/>
        <w:jc w:val="right"/>
        <w:rPr>
          <w:rFonts w:ascii="Times New Roman CYR" w:hAnsi="Times New Roman CYR"/>
          <w:sz w:val="20"/>
        </w:rPr>
      </w:pPr>
    </w:p>
    <w:p w:rsidR="00000000" w:rsidRDefault="00684954">
      <w:pPr>
        <w:ind w:firstLine="284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УДК 621.3.002.5.027.3:658.382.3:006.354                                                                    Группа Т58 </w:t>
      </w:r>
    </w:p>
    <w:p w:rsidR="00000000" w:rsidRDefault="00684954">
      <w:pPr>
        <w:pStyle w:val="Heading"/>
        <w:ind w:firstLine="284"/>
        <w:jc w:val="center"/>
        <w:rPr>
          <w:rFonts w:ascii="Times New Roman CYR" w:hAnsi="Times New Roman CYR"/>
          <w:b w:val="0"/>
          <w:sz w:val="20"/>
        </w:rPr>
      </w:pPr>
    </w:p>
    <w:p w:rsidR="00000000" w:rsidRDefault="00684954">
      <w:pPr>
        <w:pStyle w:val="Heading"/>
        <w:ind w:firstLine="284"/>
        <w:jc w:val="center"/>
        <w:rPr>
          <w:rFonts w:ascii="Times New Roman CYR" w:hAnsi="Times New Roman CYR"/>
          <w:b w:val="0"/>
          <w:sz w:val="20"/>
        </w:rPr>
      </w:pPr>
      <w:r>
        <w:rPr>
          <w:rFonts w:ascii="Times New Roman CYR" w:hAnsi="Times New Roman CYR"/>
          <w:b w:val="0"/>
          <w:sz w:val="20"/>
        </w:rPr>
        <w:t>МЕЖГОСУДАРСТВЕННЫЙ СТАНДАРТ</w:t>
      </w:r>
    </w:p>
    <w:p w:rsidR="00000000" w:rsidRDefault="00684954">
      <w:pPr>
        <w:pStyle w:val="Heading"/>
        <w:ind w:firstLine="284"/>
        <w:jc w:val="center"/>
        <w:rPr>
          <w:rFonts w:ascii="Times New Roman CYR" w:hAnsi="Times New Roman CYR"/>
          <w:b w:val="0"/>
          <w:sz w:val="20"/>
        </w:rPr>
      </w:pPr>
    </w:p>
    <w:p w:rsidR="00000000" w:rsidRDefault="00684954">
      <w:pPr>
        <w:pStyle w:val="Heading"/>
        <w:ind w:firstLine="284"/>
        <w:jc w:val="center"/>
        <w:rPr>
          <w:rFonts w:ascii="Times New Roman CYR" w:hAnsi="Times New Roman CYR"/>
          <w:sz w:val="20"/>
        </w:rPr>
      </w:pPr>
    </w:p>
    <w:p w:rsidR="00000000" w:rsidRDefault="00684954">
      <w:pPr>
        <w:pStyle w:val="Heading"/>
        <w:ind w:firstLine="284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Система стандартов безопасности труда</w:t>
      </w:r>
    </w:p>
    <w:p w:rsidR="00000000" w:rsidRDefault="00684954">
      <w:pPr>
        <w:pStyle w:val="Heading"/>
        <w:ind w:firstLine="284"/>
        <w:jc w:val="center"/>
        <w:rPr>
          <w:rFonts w:ascii="Times New Roman CYR" w:hAnsi="Times New Roman CYR"/>
          <w:sz w:val="20"/>
        </w:rPr>
      </w:pPr>
    </w:p>
    <w:p w:rsidR="00000000" w:rsidRDefault="00684954">
      <w:pPr>
        <w:pStyle w:val="Heading"/>
        <w:ind w:firstLine="284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ЭЛЕКТРОТЕХНИЧЕСКИЕ УСТРОЙСТВА НА НАПРЯЖЕНИЕ  </w:t>
      </w:r>
    </w:p>
    <w:p w:rsidR="00000000" w:rsidRDefault="00684954">
      <w:pPr>
        <w:pStyle w:val="Heading"/>
        <w:ind w:firstLine="284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СВЫШЕ 1000 В</w:t>
      </w:r>
    </w:p>
    <w:p w:rsidR="00000000" w:rsidRDefault="00684954">
      <w:pPr>
        <w:pStyle w:val="Heading"/>
        <w:ind w:firstLine="284"/>
        <w:jc w:val="center"/>
        <w:rPr>
          <w:rFonts w:ascii="Times New Roman CYR" w:hAnsi="Times New Roman CYR"/>
          <w:sz w:val="20"/>
        </w:rPr>
      </w:pPr>
    </w:p>
    <w:p w:rsidR="00000000" w:rsidRDefault="00684954">
      <w:pPr>
        <w:pStyle w:val="Heading"/>
        <w:ind w:firstLine="284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Требования безопасности</w:t>
      </w:r>
    </w:p>
    <w:p w:rsidR="00000000" w:rsidRDefault="00684954">
      <w:pPr>
        <w:pStyle w:val="Heading"/>
        <w:ind w:firstLine="284"/>
        <w:jc w:val="center"/>
        <w:rPr>
          <w:rFonts w:ascii="Times New Roman CYR" w:hAnsi="Times New Roman CYR"/>
          <w:sz w:val="20"/>
        </w:rPr>
      </w:pPr>
    </w:p>
    <w:p w:rsidR="00000000" w:rsidRDefault="00684954">
      <w:pPr>
        <w:pStyle w:val="Heading"/>
        <w:ind w:firstLine="284"/>
        <w:jc w:val="center"/>
        <w:rPr>
          <w:rFonts w:ascii="Times New Roman CYR" w:hAnsi="Times New Roman CYR"/>
          <w:sz w:val="20"/>
          <w:lang w:val="en-US"/>
        </w:rPr>
      </w:pPr>
      <w:r>
        <w:rPr>
          <w:rFonts w:ascii="Times New Roman CYR" w:hAnsi="Times New Roman CYR"/>
          <w:sz w:val="20"/>
          <w:lang w:val="en-US"/>
        </w:rPr>
        <w:t xml:space="preserve">Occupatio№ safety sta№dards system. Safety requireme№ts. </w:t>
      </w:r>
    </w:p>
    <w:p w:rsidR="00000000" w:rsidRDefault="00684954">
      <w:pPr>
        <w:pStyle w:val="Heading"/>
        <w:ind w:firstLine="284"/>
        <w:jc w:val="center"/>
        <w:rPr>
          <w:rFonts w:ascii="Times New Roman CYR" w:hAnsi="Times New Roman CYR"/>
          <w:sz w:val="20"/>
          <w:lang w:val="en-US"/>
        </w:rPr>
      </w:pPr>
      <w:r>
        <w:rPr>
          <w:rFonts w:ascii="Times New Roman CYR" w:hAnsi="Times New Roman CYR"/>
          <w:sz w:val="20"/>
          <w:lang w:val="en-US"/>
        </w:rPr>
        <w:t xml:space="preserve">Electrical devices for voltages above 1000 V 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  <w:lang w:val="en-US"/>
        </w:rPr>
      </w:pPr>
      <w:r>
        <w:rPr>
          <w:rFonts w:ascii="Times New Roman CYR" w:hAnsi="Times New Roman CYR"/>
          <w:sz w:val="20"/>
          <w:lang w:val="en-US"/>
        </w:rPr>
        <w:t xml:space="preserve">    </w:t>
      </w:r>
    </w:p>
    <w:p w:rsidR="00000000" w:rsidRDefault="00684954">
      <w:pPr>
        <w:ind w:firstLine="284"/>
        <w:jc w:val="right"/>
        <w:rPr>
          <w:rFonts w:ascii="Times New Roman CYR" w:hAnsi="Times New Roman CYR"/>
          <w:i/>
          <w:sz w:val="20"/>
        </w:rPr>
      </w:pPr>
      <w:r>
        <w:rPr>
          <w:rFonts w:ascii="Times New Roman CYR" w:hAnsi="Times New Roman CYR"/>
          <w:i/>
          <w:sz w:val="20"/>
        </w:rPr>
        <w:t xml:space="preserve">Дата введения 1978-01-01 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УТВЕРЖДЕН постановлением Государственного комитета стандартов Совета Министров С</w:t>
      </w:r>
      <w:r>
        <w:rPr>
          <w:rFonts w:ascii="Times New Roman CYR" w:hAnsi="Times New Roman CYR"/>
          <w:sz w:val="20"/>
        </w:rPr>
        <w:t xml:space="preserve">ССР от 10 сентября 1975 г. № 2368 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Ограничение срока действия снято Постановлением Госстандарта от 22.06.92 № 564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И</w:t>
      </w:r>
      <w:r>
        <w:rPr>
          <w:rFonts w:ascii="Times New Roman CYR" w:hAnsi="Times New Roman CYR"/>
          <w:caps/>
          <w:sz w:val="20"/>
        </w:rPr>
        <w:t>здание</w:t>
      </w:r>
      <w:r>
        <w:rPr>
          <w:rFonts w:ascii="Times New Roman CYR" w:hAnsi="Times New Roman CYR"/>
          <w:sz w:val="20"/>
        </w:rPr>
        <w:t xml:space="preserve"> (август 2001 г.) с Изменениями № 1, 2, 3, 4, утвержденными в июне 1978 г., декабре 1982 г., мае 1987 г., октябре 1999 г. (ИУС 6-78, </w:t>
      </w:r>
      <w:r>
        <w:rPr>
          <w:rFonts w:ascii="Times New Roman CYR" w:hAnsi="Times New Roman CYR"/>
          <w:sz w:val="20"/>
        </w:rPr>
        <w:t>2-83, 8-87, 1-2000 г.).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Настоящий стандарт распространяется на коммутационные электрические аппараты, разрядники, трансформаторы тока и напряжения, изоляторы и вводы.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Стандарт устанавливает требования безопасности к конструкции электротехнических устройс</w:t>
      </w:r>
      <w:r>
        <w:rPr>
          <w:rFonts w:ascii="Times New Roman CYR" w:hAnsi="Times New Roman CYR"/>
          <w:sz w:val="20"/>
        </w:rPr>
        <w:t xml:space="preserve">тв. 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</w:p>
    <w:p w:rsidR="00000000" w:rsidRDefault="00684954">
      <w:pPr>
        <w:ind w:firstLine="284"/>
        <w:jc w:val="both"/>
        <w:rPr>
          <w:rFonts w:ascii="Times New Roman CYR" w:hAnsi="Times New Roman CYR"/>
          <w:b/>
          <w:sz w:val="20"/>
        </w:rPr>
      </w:pPr>
      <w:r>
        <w:rPr>
          <w:rFonts w:ascii="Times New Roman CYR" w:hAnsi="Times New Roman CYR"/>
          <w:b/>
          <w:sz w:val="20"/>
        </w:rPr>
        <w:t>(Измененная редакция, Изм. № 4).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</w:p>
    <w:p w:rsidR="00000000" w:rsidRDefault="00684954">
      <w:pPr>
        <w:pStyle w:val="Heading"/>
        <w:ind w:firstLine="284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1. ОБЩИЕ ТРЕБОВАНИЯ 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1.1. Электротехнические устройства должны соответствовать требованиям настоящего стандарта и ГОСТ 12.2.007.0-75.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1.2. Требование  к изоляции цепей управления, блокировки и сигнализации - по ГОСТ</w:t>
      </w:r>
      <w:r>
        <w:rPr>
          <w:rFonts w:ascii="Times New Roman CYR" w:hAnsi="Times New Roman CYR"/>
          <w:sz w:val="20"/>
        </w:rPr>
        <w:t xml:space="preserve"> 1516.1-76, п.1.14.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</w:p>
    <w:p w:rsidR="00000000" w:rsidRDefault="00684954">
      <w:pPr>
        <w:ind w:firstLine="284"/>
        <w:jc w:val="both"/>
        <w:rPr>
          <w:rFonts w:ascii="Times New Roman CYR" w:hAnsi="Times New Roman CYR"/>
          <w:b/>
          <w:sz w:val="20"/>
        </w:rPr>
      </w:pPr>
      <w:r>
        <w:rPr>
          <w:rFonts w:ascii="Times New Roman CYR" w:hAnsi="Times New Roman CYR"/>
          <w:b/>
          <w:sz w:val="20"/>
        </w:rPr>
        <w:t>(Измененная редакция, Изм. № 4).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1.3. </w:t>
      </w:r>
      <w:r>
        <w:rPr>
          <w:rFonts w:ascii="Times New Roman CYR" w:hAnsi="Times New Roman CYR"/>
          <w:b/>
          <w:sz w:val="20"/>
        </w:rPr>
        <w:t>(Исключен, Изм. № 4).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1.4. </w:t>
      </w:r>
      <w:r>
        <w:rPr>
          <w:rFonts w:ascii="Times New Roman CYR" w:hAnsi="Times New Roman CYR"/>
          <w:b/>
          <w:sz w:val="20"/>
        </w:rPr>
        <w:t>(Исключен, Изм. № 2).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</w:p>
    <w:p w:rsidR="00000000" w:rsidRDefault="00684954">
      <w:pPr>
        <w:pStyle w:val="Heading"/>
        <w:ind w:firstLine="284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2. ТРЕБОВАНИЯ К ОТДЕЛЬНЫМ ВИДАМ УСТРОЙСТВ 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2.1. Выключатели и приводы к ним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2.1.1. На выключателе и на приводе к нему должны быть указатели вклю</w:t>
      </w:r>
      <w:r>
        <w:rPr>
          <w:rFonts w:ascii="Times New Roman CYR" w:hAnsi="Times New Roman CYR"/>
          <w:sz w:val="20"/>
        </w:rPr>
        <w:t>ченного и отключенного положения выключателя. Применение сигнальных ламп в качестве единственных указателей положения выключателя не допускается.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На выключателях со встроенным приводом или с приводом, расположенным в непосредственной близости от выключател</w:t>
      </w:r>
      <w:r>
        <w:rPr>
          <w:rFonts w:ascii="Times New Roman CYR" w:hAnsi="Times New Roman CYR"/>
          <w:sz w:val="20"/>
        </w:rPr>
        <w:t>я и не отделенным от выключателя сплошным непрозрачным ограждением, допускается установка одного указателя на выключателе или на приводе.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lastRenderedPageBreak/>
        <w:t>На выключателях, имеющих внешние подвижные контакты, положение которых ясно указывает на включенное или отключенное по</w:t>
      </w:r>
      <w:r>
        <w:rPr>
          <w:rFonts w:ascii="Times New Roman CYR" w:hAnsi="Times New Roman CYR"/>
          <w:sz w:val="20"/>
        </w:rPr>
        <w:t>ложение выключателя, наличие указателя на выключателе не обязательно.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2.1.2. Масляные выключатели с металлическими заземленными баками, вмещающими каждый более 300 кг масла, должны обеспечивать возможность доливки и фильтрования масла во время эксплуатации</w:t>
      </w:r>
      <w:r>
        <w:rPr>
          <w:rFonts w:ascii="Times New Roman CYR" w:hAnsi="Times New Roman CYR"/>
          <w:sz w:val="20"/>
        </w:rPr>
        <w:t xml:space="preserve"> без отключения выключателя.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2.1.3. Масляные выключатели и выключатели с негорючим жидким диэлектриком должны иметь: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а) указатель уровня масла или дугогасящей жидкости;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б) устройство для опускания и поднимания бака - для масляных выключателей с опускаемым </w:t>
      </w:r>
      <w:r>
        <w:rPr>
          <w:rFonts w:ascii="Times New Roman CYR" w:hAnsi="Times New Roman CYR"/>
          <w:sz w:val="20"/>
        </w:rPr>
        <w:t>баком, у которых масса бака с маслом превышает 30 кг;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в) лаз для доступа внутрь выключателя - для масляных выключателей с большим объемом масла, у которых не предусмотрено опускание бака;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г) места для установки лесов - для выключателей на напряжение свыше </w:t>
      </w:r>
      <w:r>
        <w:rPr>
          <w:rFonts w:ascii="Times New Roman CYR" w:hAnsi="Times New Roman CYR"/>
          <w:sz w:val="20"/>
        </w:rPr>
        <w:t>330 кВ.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2.1.4. Резервуары газовых выключателей должны быть выполнены в соответствии с "Правилами устройства и безопасности сосудов, работающих под давлением" Госгортехнадзора. 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</w:p>
    <w:p w:rsidR="00000000" w:rsidRDefault="00684954">
      <w:pPr>
        <w:ind w:firstLine="284"/>
        <w:jc w:val="both"/>
        <w:rPr>
          <w:rFonts w:ascii="Times New Roman CYR" w:hAnsi="Times New Roman CYR"/>
          <w:b/>
          <w:sz w:val="20"/>
        </w:rPr>
      </w:pPr>
      <w:r>
        <w:rPr>
          <w:rFonts w:ascii="Times New Roman CYR" w:hAnsi="Times New Roman CYR"/>
          <w:b/>
          <w:sz w:val="20"/>
        </w:rPr>
        <w:t>(Измененная редакция, Изм. № 3).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2.1.5. Вакуумные выключатели на напряжение 3</w:t>
      </w:r>
      <w:r>
        <w:rPr>
          <w:rFonts w:ascii="Times New Roman CYR" w:hAnsi="Times New Roman CYR"/>
          <w:sz w:val="20"/>
        </w:rPr>
        <w:t>5 кВ и выше должны иметь защиту от рентгеновского излучения.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2.1.6. Длина рукоятки рычажного привода должна быть не более 350 мм для одноплечевых рычагов и не более 700 мм для двуплечевых рычагов. Диаметр окружности, описываемый концом рукоятки штурвальног</w:t>
      </w:r>
      <w:r>
        <w:rPr>
          <w:rFonts w:ascii="Times New Roman CYR" w:hAnsi="Times New Roman CYR"/>
          <w:sz w:val="20"/>
        </w:rPr>
        <w:t>о привода, должен быть не более 700 мм.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Среднее усилие по окружности во всех указанных случаях не должно превышать 245 Н (25 кгс).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2.1.7. Угол проворота рукоятки штурвального привода и двуплечевого рычага рычажного привода при включении не должен превышать</w:t>
      </w:r>
      <w:r>
        <w:rPr>
          <w:rFonts w:ascii="Times New Roman CYR" w:hAnsi="Times New Roman CYR"/>
          <w:sz w:val="20"/>
        </w:rPr>
        <w:t xml:space="preserve"> 180°. Операция включения и отключения ручным приводом должна осуществляться одним движением человека-оператора.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2.1.8. Пружинные приводы должны иметь механический указатель и специальный блок-контакт на две цепи для сигнализации об окончании завода пружин</w:t>
      </w:r>
      <w:r>
        <w:rPr>
          <w:rFonts w:ascii="Times New Roman CYR" w:hAnsi="Times New Roman CYR"/>
          <w:sz w:val="20"/>
        </w:rPr>
        <w:t>ы и готовности выключателя к включению.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2.1.9. Приводы, имеющие, кроме одного отключающего электромагнита, встроенные реле или второй встроенный отключающий электромагнит, должны по требованию заказчика изготовляться со специальными блок-контактами, обеспе</w:t>
      </w:r>
      <w:r>
        <w:rPr>
          <w:rFonts w:ascii="Times New Roman CYR" w:hAnsi="Times New Roman CYR"/>
          <w:sz w:val="20"/>
        </w:rPr>
        <w:t>чивающими при отключении выключателя подачу аварийного сигнала. Для двигательных приводов указанные блок-контакты должны быть выполнены таким образом, чтобы при отключении выключателя человеком-оператором аварийный сигнал не подавался.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2.1.10. В ручных и п</w:t>
      </w:r>
      <w:r>
        <w:rPr>
          <w:rFonts w:ascii="Times New Roman CYR" w:hAnsi="Times New Roman CYR"/>
          <w:sz w:val="20"/>
        </w:rPr>
        <w:t>ружинных приводах выключателей должна быть предусмотрена возможность установки механических блок-замков для блокирования с приводами разъединителей.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</w:p>
    <w:p w:rsidR="00000000" w:rsidRDefault="00684954">
      <w:pPr>
        <w:ind w:firstLine="284"/>
        <w:jc w:val="both"/>
        <w:rPr>
          <w:rFonts w:ascii="Times New Roman CYR" w:hAnsi="Times New Roman CYR"/>
          <w:sz w:val="18"/>
        </w:rPr>
      </w:pPr>
      <w:r>
        <w:rPr>
          <w:rFonts w:ascii="Times New Roman CYR" w:hAnsi="Times New Roman CYR"/>
          <w:sz w:val="18"/>
        </w:rPr>
        <w:t>Примечание. Требование не распространяется на приводы, которые предназначены для установки в комплектных р</w:t>
      </w:r>
      <w:r>
        <w:rPr>
          <w:rFonts w:ascii="Times New Roman CYR" w:hAnsi="Times New Roman CYR"/>
          <w:sz w:val="18"/>
        </w:rPr>
        <w:t>аспределительных устройствах.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18"/>
        </w:rPr>
      </w:pP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2.1.11. В приводах для выключателей на напряжение до 35 кВ включительно, кроме пружинных приводов с заводом пружины на одну операцию включения, должна быть обеспечена блокировка против повторения операции включения и отключен</w:t>
      </w:r>
      <w:r>
        <w:rPr>
          <w:rFonts w:ascii="Times New Roman CYR" w:hAnsi="Times New Roman CYR"/>
          <w:sz w:val="20"/>
        </w:rPr>
        <w:t>ия выключателя, когда команда на включение продолжает оставаться поданной после автоматического отключения выключателя.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2.1.12. Конструкция выключателей должна предусматривать: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а) оперативное включение вручную выключателей с двигательным приводом не допуск</w:t>
      </w:r>
      <w:r>
        <w:rPr>
          <w:rFonts w:ascii="Times New Roman CYR" w:hAnsi="Times New Roman CYR"/>
          <w:sz w:val="20"/>
        </w:rPr>
        <w:t>ается;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б) оперативное включение вручную выключателей с ручным приводом допускается для выключателей на напряжение до 35 кВ, при этом должны быть приняты меры по защите человека-оператора (при помощи установки защитной стенки или перегородки между местом оп</w:t>
      </w:r>
      <w:r>
        <w:rPr>
          <w:rFonts w:ascii="Times New Roman CYR" w:hAnsi="Times New Roman CYR"/>
          <w:sz w:val="20"/>
        </w:rPr>
        <w:t>ератора и выключателем);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в) оперативное включение выключателей допускается производить вручную, если мощность короткого замыкания в месте установки выключателя не превышает 150 MB·А, а ток короткого замыкания не превышает следующих значений: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lastRenderedPageBreak/>
        <w:t>6 кА - начальн</w:t>
      </w:r>
      <w:r>
        <w:rPr>
          <w:rFonts w:ascii="Times New Roman CYR" w:hAnsi="Times New Roman CYR"/>
          <w:sz w:val="20"/>
        </w:rPr>
        <w:t>ое эффективное значение периодической составляющей;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15 кА - амплитудное значение.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2.1.13. Элегазовые выключатели с автономной системой под давлением должны иметь следующие устройства: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а) хорошо видимый указатель давления или индикатор плотности элегаза с б</w:t>
      </w:r>
      <w:r>
        <w:rPr>
          <w:rFonts w:ascii="Times New Roman CYR" w:hAnsi="Times New Roman CYR"/>
          <w:sz w:val="20"/>
        </w:rPr>
        <w:t>лок-контактами для сигнализации о снижении давления и запрещения оперирования выключателем или другое устройство, сигнализирующее о наличии давления во внутренних полостях выключателя;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б) разъемы автономной герметизации элегаза, предназначенные для техноло</w:t>
      </w:r>
      <w:r>
        <w:rPr>
          <w:rFonts w:ascii="Times New Roman CYR" w:hAnsi="Times New Roman CYR"/>
          <w:sz w:val="20"/>
        </w:rPr>
        <w:t>гических работ (вакуумирование, дозаправка, опорожнение).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Требования по технике безопасности при газотехнологических работах, работах с элегазом и продуктами его разложения должны указываться в техническом описании и инструкции по эксплуатации выключателей</w:t>
      </w:r>
      <w:r>
        <w:rPr>
          <w:rFonts w:ascii="Times New Roman CYR" w:hAnsi="Times New Roman CYR"/>
          <w:sz w:val="20"/>
        </w:rPr>
        <w:t>.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Элегазовые выключатели с герметичной системой под давлением могут иметь герметичные разъемы для контроля давления и опорожнения элегаза.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</w:p>
    <w:p w:rsidR="00000000" w:rsidRDefault="00684954">
      <w:pPr>
        <w:ind w:firstLine="284"/>
        <w:jc w:val="both"/>
        <w:rPr>
          <w:rFonts w:ascii="Times New Roman CYR" w:hAnsi="Times New Roman CYR"/>
          <w:b/>
          <w:sz w:val="20"/>
        </w:rPr>
      </w:pPr>
      <w:r>
        <w:rPr>
          <w:rFonts w:ascii="Times New Roman CYR" w:hAnsi="Times New Roman CYR"/>
          <w:b/>
          <w:sz w:val="20"/>
        </w:rPr>
        <w:t>(Введен дополнительно, Изм. № 4).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2.2. Разъединители и приводы к ним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2.2.1. Разъединители должны изготовляться с за</w:t>
      </w:r>
      <w:r>
        <w:rPr>
          <w:rFonts w:ascii="Times New Roman CYR" w:hAnsi="Times New Roman CYR"/>
          <w:sz w:val="20"/>
        </w:rPr>
        <w:t>земляющими ножами или без них.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2.2.2. Главные и заземляющие ножи разъединителя должны быть сблокированы так, чтобы при включении главной цепи было невозможно включение цепи заземления, а при включенной цепи заземления не допускалось включение главной цепи.</w:t>
      </w:r>
      <w:r>
        <w:rPr>
          <w:rFonts w:ascii="Times New Roman CYR" w:hAnsi="Times New Roman CYR"/>
          <w:sz w:val="20"/>
        </w:rPr>
        <w:t xml:space="preserve"> Допускается изготовлять разъединители без механической блокировки, если такая блокировка осуществлена в предназначенном для него приводе.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2.2.3. Ручные рычажные приводы для внутренних установок должны изготовляться с рукоятками длиной 200, 250, 350 и 425 </w:t>
      </w:r>
      <w:r>
        <w:rPr>
          <w:rFonts w:ascii="Times New Roman CYR" w:hAnsi="Times New Roman CYR"/>
          <w:sz w:val="20"/>
        </w:rPr>
        <w:t>мм, штурвальные - со штурвалами диаметром 320 и 500 мм. При диаметре штурвала 500 мм диаметр окружности, описываемой концом рукоятки штурвала, должен быть не более 750 мм.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2.2.4. Статическое усилие на рукоятке ручного привода при оперировании главными ножа</w:t>
      </w:r>
      <w:r>
        <w:rPr>
          <w:rFonts w:ascii="Times New Roman CYR" w:hAnsi="Times New Roman CYR"/>
          <w:sz w:val="20"/>
        </w:rPr>
        <w:t>ми разъединителя, в том числе и при гололеде, не должно превышать 245 Н (25 кгс).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</w:p>
    <w:p w:rsidR="00000000" w:rsidRDefault="00684954">
      <w:pPr>
        <w:ind w:firstLine="284"/>
        <w:jc w:val="both"/>
        <w:rPr>
          <w:rFonts w:ascii="Times New Roman CYR" w:hAnsi="Times New Roman CYR"/>
          <w:sz w:val="18"/>
        </w:rPr>
      </w:pPr>
      <w:r>
        <w:rPr>
          <w:rFonts w:ascii="Times New Roman CYR" w:hAnsi="Times New Roman CYR"/>
          <w:sz w:val="18"/>
        </w:rPr>
        <w:t>Примечания: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18"/>
        </w:rPr>
      </w:pPr>
      <w:r>
        <w:rPr>
          <w:rFonts w:ascii="Times New Roman CYR" w:hAnsi="Times New Roman CYR"/>
          <w:sz w:val="18"/>
        </w:rPr>
        <w:t>1. При применении удлинителя рукоятки указанное значение статического усилия относится к наибольшей длине удлинителя, рекомендуемой предприятием-изготовителем.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18"/>
        </w:rPr>
      </w:pPr>
      <w:r>
        <w:rPr>
          <w:rFonts w:ascii="Times New Roman CYR" w:hAnsi="Times New Roman CYR"/>
          <w:sz w:val="18"/>
        </w:rPr>
        <w:t>2</w:t>
      </w:r>
      <w:r>
        <w:rPr>
          <w:rFonts w:ascii="Times New Roman CYR" w:hAnsi="Times New Roman CYR"/>
          <w:sz w:val="18"/>
        </w:rPr>
        <w:t>. Для штурвальных приводов и приводов, снабженных двухплечевой рукояткой, указанное значение относится к оперированию одной рукой на одном плече рукоятки.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18"/>
        </w:rPr>
      </w:pPr>
      <w:r>
        <w:rPr>
          <w:rFonts w:ascii="Times New Roman CYR" w:hAnsi="Times New Roman CYR"/>
          <w:sz w:val="18"/>
        </w:rPr>
        <w:t>3. Указанное значение статического усилия не распространяется на значение усилия в момент трогания ме</w:t>
      </w:r>
      <w:r>
        <w:rPr>
          <w:rFonts w:ascii="Times New Roman CYR" w:hAnsi="Times New Roman CYR"/>
          <w:sz w:val="18"/>
        </w:rPr>
        <w:t>ханизмов и в моменты входа ножа в контакт и выхода из контакта.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2.2.5. Блок-контакты приводов, предназначенные для сигнализации положения разъединителя, должны быть выполнены таким образом, чтобы сигнал об отключении разъединителя появлялся после прохожде</w:t>
      </w:r>
      <w:r>
        <w:rPr>
          <w:rFonts w:ascii="Times New Roman CYR" w:hAnsi="Times New Roman CYR"/>
          <w:sz w:val="20"/>
        </w:rPr>
        <w:t xml:space="preserve">ния подвижными контактами не менее </w:t>
      </w:r>
      <w:r>
        <w:rPr>
          <w:rFonts w:ascii="Times New Roman CYR" w:hAnsi="Times New Roman CYR"/>
          <w:sz w:val="20"/>
          <w:vertAlign w:val="superscript"/>
        </w:rPr>
        <w:t>4</w:t>
      </w:r>
      <w:r>
        <w:rPr>
          <w:rFonts w:ascii="Times New Roman CYR" w:hAnsi="Times New Roman CYR"/>
          <w:sz w:val="20"/>
        </w:rPr>
        <w:t>/</w:t>
      </w:r>
      <w:r>
        <w:rPr>
          <w:rFonts w:ascii="Times New Roman CYR" w:hAnsi="Times New Roman CYR"/>
          <w:sz w:val="20"/>
          <w:vertAlign w:val="subscript"/>
        </w:rPr>
        <w:t>5</w:t>
      </w:r>
      <w:r>
        <w:rPr>
          <w:rFonts w:ascii="Times New Roman CYR" w:hAnsi="Times New Roman CYR"/>
          <w:sz w:val="20"/>
        </w:rPr>
        <w:t xml:space="preserve"> расстояния между разомкнутыми контактами, а сигнал о включении разъединителя - не ранее момента касания подвижных и неподвижных контактов. Конструкция блок-контактов должна обеспечивать фиксирование их в крайних полож</w:t>
      </w:r>
      <w:r>
        <w:rPr>
          <w:rFonts w:ascii="Times New Roman CYR" w:hAnsi="Times New Roman CYR"/>
          <w:sz w:val="20"/>
        </w:rPr>
        <w:t>ениях.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2.2.6. В приводах к разъединителям должна быть предусмотрена возможность установки блокировки для предотвращения неправильных операций с разъединителем.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Электромагнитные блокировки должны изготовляться на номинальное напряжение 24, 48, 110 и 220 В п</w:t>
      </w:r>
      <w:r>
        <w:rPr>
          <w:rFonts w:ascii="Times New Roman CYR" w:hAnsi="Times New Roman CYR"/>
          <w:sz w:val="20"/>
        </w:rPr>
        <w:t>остоянного тока и на 127 и 220 В переменного тока.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В двигательном приводе блокирование от неправильных операций должно осуществляться посредством разрыва цепи катушек управления или цепи электродвигателя. В двигательном приводе, допускающем ручное управлен</w:t>
      </w:r>
      <w:r>
        <w:rPr>
          <w:rFonts w:ascii="Times New Roman CYR" w:hAnsi="Times New Roman CYR"/>
          <w:sz w:val="20"/>
        </w:rPr>
        <w:t>ие, должна быть обеспечена блокировка от неправильных операций с разъединителем или по согласованию с заказчиком допускается оборудовать эти приводы устройством для пломбирования органов ручного управления.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Блокировка между главными и заземляющими ножами о</w:t>
      </w:r>
      <w:r>
        <w:rPr>
          <w:rFonts w:ascii="Times New Roman CYR" w:hAnsi="Times New Roman CYR"/>
          <w:sz w:val="20"/>
        </w:rPr>
        <w:t>дного разъединителя может осуществляться при помощи специального устройства, которое допускается устанавливать как на приводе, так и на разъединителе или в механизме передачи между приводом и разъединителем.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lastRenderedPageBreak/>
        <w:t>2.2.7. Однократная команда человека-оператора до</w:t>
      </w:r>
      <w:r>
        <w:rPr>
          <w:rFonts w:ascii="Times New Roman CYR" w:hAnsi="Times New Roman CYR"/>
          <w:sz w:val="20"/>
        </w:rPr>
        <w:t>лжна вызывать выполнение двигательным приводом одной законченной операции включения или отключения независимо от продолжительности подачи команды.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2.2.8. Конечные положения механизма ручных приводов как главных, так и заземляющих ножей должны фиксироваться</w:t>
      </w:r>
      <w:r>
        <w:rPr>
          <w:rFonts w:ascii="Times New Roman CYR" w:hAnsi="Times New Roman CYR"/>
          <w:sz w:val="20"/>
        </w:rPr>
        <w:t xml:space="preserve"> упорами. В конечных положениях приводов должна быть предусмотрена возможность запирания механизма при помощи замка.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2.2.9. Привод должен иметь механический указатель положения главных и заземляющих ножей разъединителя с надписями о включении и отключении.</w:t>
      </w:r>
      <w:r>
        <w:rPr>
          <w:rFonts w:ascii="Times New Roman CYR" w:hAnsi="Times New Roman CYR"/>
          <w:sz w:val="20"/>
        </w:rPr>
        <w:t xml:space="preserve"> В рычажных приводах указателем может служить рукоятка привода.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2.2.10. Рукоятки приводов заземляющих ножей должны отличаться окраской от рукояток других приводов.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2.3. Отделители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2.3.1. Отделители должны изготовляться с заземляющими ножами или без них.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</w:t>
      </w:r>
      <w:r>
        <w:rPr>
          <w:rFonts w:ascii="Times New Roman CYR" w:hAnsi="Times New Roman CYR"/>
          <w:sz w:val="20"/>
        </w:rPr>
        <w:t>3.2. Подвижные части отделителя должны быть сблокированы механически так, чтобы при включении главной цепи было невозможно включение цепи заземления, а при включенной цепи заземления не допускалось включение главной цепи.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2.4. Предохранители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2.4.1. В предо</w:t>
      </w:r>
      <w:r>
        <w:rPr>
          <w:rFonts w:ascii="Times New Roman CYR" w:hAnsi="Times New Roman CYR"/>
          <w:sz w:val="20"/>
        </w:rPr>
        <w:t>хранителях с наполнителем должны быть приняты меры для предупреждения выброса пламени.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При установке стреляющих предохранителей должны быть приняты меры для того, чтобы выбрасывание пламени, газов и частей плавкой вставки не вызывало перекрытия на соседний</w:t>
      </w:r>
      <w:r>
        <w:rPr>
          <w:rFonts w:ascii="Times New Roman CYR" w:hAnsi="Times New Roman CYR"/>
          <w:sz w:val="20"/>
        </w:rPr>
        <w:t xml:space="preserve"> полюс предохранителя, на заземленные части или соседнее оборудование.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Для перезаряжаемых предохранителей допускается незначительное обгорание внутренних частей патрона предохранителя, не препятствующее замене сгоравшей плавкой вставки и не влияющее на раб</w:t>
      </w:r>
      <w:r>
        <w:rPr>
          <w:rFonts w:ascii="Times New Roman CYR" w:hAnsi="Times New Roman CYR"/>
          <w:sz w:val="20"/>
        </w:rPr>
        <w:t>очие параметры предохранителя.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2.4.2. Предохранители многократного действия должны обеспечивать при коротком замыкании, независимо от момента его начала, возможность включения резервного патрона с плавкой вставкой на наибольший из номинальных токов предохр</w:t>
      </w:r>
      <w:r>
        <w:rPr>
          <w:rFonts w:ascii="Times New Roman CYR" w:hAnsi="Times New Roman CYR"/>
          <w:sz w:val="20"/>
        </w:rPr>
        <w:t>анителя, при этом не должно быть разрушения или повреждения механизма включения или контактов предохранителя. Допускается приваривание контактов, не препятствующее приведению механизма во включенное положение и дальнейшей нормальной работе предохранителя.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2.4.3. Конструкция предохранителей должна обеспечивать безопасную и удобную замену их под напряжением с отключенной нагрузкой при помощи клещей, оперативных штанг или других предназначенных для этого приспособлений.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2.4.4. Патроны предохранителей, в которы</w:t>
      </w:r>
      <w:r>
        <w:rPr>
          <w:rFonts w:ascii="Times New Roman CYR" w:hAnsi="Times New Roman CYR"/>
          <w:sz w:val="20"/>
        </w:rPr>
        <w:t>х наличие и состояние плавкой вставки не может быть определено визуально, должны быть оборудованы приспособлением (указателем срабатывания), позволяющим легко обнаружить на безопасном расстоянии расплавление плавкой вставки.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</w:p>
    <w:p w:rsidR="00000000" w:rsidRDefault="00684954">
      <w:pPr>
        <w:ind w:firstLine="284"/>
        <w:jc w:val="both"/>
        <w:rPr>
          <w:rFonts w:ascii="Times New Roman CYR" w:hAnsi="Times New Roman CYR"/>
          <w:sz w:val="18"/>
        </w:rPr>
      </w:pPr>
      <w:r>
        <w:rPr>
          <w:rFonts w:ascii="Times New Roman CYR" w:hAnsi="Times New Roman CYR"/>
          <w:sz w:val="18"/>
        </w:rPr>
        <w:t>Примечание. Требования настоящ</w:t>
      </w:r>
      <w:r>
        <w:rPr>
          <w:rFonts w:ascii="Times New Roman CYR" w:hAnsi="Times New Roman CYR"/>
          <w:sz w:val="18"/>
        </w:rPr>
        <w:t>его пункта не распространяются на предохранители для защиты трансформаторов напряжения.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2.5. Вентильные разрядники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2.5.1. Разрядники группы I на номинальное напряжение 110 кВ и выше, разрядники группы II подгруппы Б на номинальное напряжение 330 и 500 кВ,</w:t>
      </w:r>
      <w:r>
        <w:rPr>
          <w:rFonts w:ascii="Times New Roman CYR" w:hAnsi="Times New Roman CYR"/>
          <w:sz w:val="20"/>
        </w:rPr>
        <w:t xml:space="preserve"> а также разрядники комбинированного типа по ГОСТ 16357-83 должны иметь предохранительное устройство, исключающее при повреждениях внутри разрядника возможность повышения в нем внутреннего давления до значений, вызывающих взрыв фарфоровой покрышки разрядни</w:t>
      </w:r>
      <w:r>
        <w:rPr>
          <w:rFonts w:ascii="Times New Roman CYR" w:hAnsi="Times New Roman CYR"/>
          <w:sz w:val="20"/>
        </w:rPr>
        <w:t>ка.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2.5.2. Разрядники комбинированного типа групп I-Ill должны иметь устройство для присоединения регистратора срабатывания, не нарушающее изоляцию разрядников от земли. 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2.6. Трубчатые разрядники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2.6.1. Конструкция трубчатых разрядников должна обеспечиват</w:t>
      </w:r>
      <w:r>
        <w:rPr>
          <w:rFonts w:ascii="Times New Roman CYR" w:hAnsi="Times New Roman CYR"/>
          <w:sz w:val="20"/>
        </w:rPr>
        <w:t>ь возможность крепления их за открытую и закрытую концевые обоймы, а также возможность проверки диаметра внутреннего дугогасительного канала.  Конструкция трубчатых разрядников на напряжение 220 кВ должна обеспечивать возможность крепления только за открыт</w:t>
      </w:r>
      <w:r>
        <w:rPr>
          <w:rFonts w:ascii="Times New Roman CYR" w:hAnsi="Times New Roman CYR"/>
          <w:sz w:val="20"/>
        </w:rPr>
        <w:t>ую концевую обойму.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2.6.2. Зона выхлопа разрядников - по ТУ 16-674.100-87.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2.6.3. Трубчатые разрядники должны устанавливаться открытым концом вниз, при этом угол наклона их к горизонтали должен быть не менее 30°. 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2.7. Трансформаторы тока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lastRenderedPageBreak/>
        <w:t>2.7.1. На трансфо</w:t>
      </w:r>
      <w:r>
        <w:rPr>
          <w:rFonts w:ascii="Times New Roman CYR" w:hAnsi="Times New Roman CYR"/>
          <w:sz w:val="20"/>
        </w:rPr>
        <w:t>рматорах тока должны быть предупредительные знаки и надписи: "Внимание! Опасно! На разомкнутой обмотке напряжение".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2.7.2. </w:t>
      </w:r>
      <w:r>
        <w:rPr>
          <w:rFonts w:ascii="Times New Roman CYR" w:hAnsi="Times New Roman CYR"/>
          <w:b/>
          <w:sz w:val="20"/>
        </w:rPr>
        <w:t>(Исключен, Изменение № 1).</w:t>
      </w:r>
      <w:r>
        <w:rPr>
          <w:rFonts w:ascii="Times New Roman CYR" w:hAnsi="Times New Roman CYR"/>
          <w:sz w:val="20"/>
        </w:rPr>
        <w:t xml:space="preserve"> 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2.8. Трансформаторы напряжения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2.8.1. Требования безопасности к трансформаторам напряжения - по ГОСТ 12</w:t>
      </w:r>
      <w:r>
        <w:rPr>
          <w:rFonts w:ascii="Times New Roman CYR" w:hAnsi="Times New Roman CYR"/>
          <w:sz w:val="20"/>
        </w:rPr>
        <w:t xml:space="preserve">.2.007.0-75 (пп.3.1.6, 3.1.9, 3.2, 3.3.2-3.3.5, 3.3.7, 3.3.8, 3.3.12, 3.9). 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2.9. Изоляторы 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2.9.1. Изоляторы должны обеспечивать соответствующую механическую прочность: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покрышки по ГОСТ 5862-79, п.1.13;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проходные изоляторы по ГОСТ 22229-83, п.1.6;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опорные</w:t>
      </w:r>
      <w:r>
        <w:rPr>
          <w:rFonts w:ascii="Times New Roman CYR" w:hAnsi="Times New Roman CYR"/>
          <w:sz w:val="20"/>
        </w:rPr>
        <w:t xml:space="preserve"> изоляторы по ГОСТ 9984-85, п.1.5;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опорные стержневые изоляторы по ГОСТ 9984-85, п.1.16;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опорные штыревые изоляторы по ГОСТ 8608-96, по ГОСТ 28856-90, п.3.3.2. 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2.10. Вводы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Вводы должны быть герметичны, выдерживать консольные нагрузки в соответствии с треб</w:t>
      </w:r>
      <w:r>
        <w:rPr>
          <w:rFonts w:ascii="Times New Roman CYR" w:hAnsi="Times New Roman CYR"/>
          <w:sz w:val="20"/>
        </w:rPr>
        <w:t>ованиями ГОСТ 10693-81, пп.2.10, 2.25.</w:t>
      </w:r>
    </w:p>
    <w:p w:rsidR="00000000" w:rsidRDefault="00684954">
      <w:pPr>
        <w:ind w:firstLine="284"/>
        <w:jc w:val="both"/>
        <w:rPr>
          <w:rFonts w:ascii="Times New Roman CYR" w:hAnsi="Times New Roman CYR"/>
          <w:sz w:val="20"/>
        </w:rPr>
      </w:pPr>
    </w:p>
    <w:p w:rsidR="00684954" w:rsidRDefault="00684954">
      <w:pPr>
        <w:ind w:firstLine="284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2.8, 2.8.1, 2.9, 2.9.1, 2.10. </w:t>
      </w:r>
      <w:r>
        <w:rPr>
          <w:rFonts w:ascii="Times New Roman CYR" w:hAnsi="Times New Roman CYR"/>
          <w:b/>
          <w:sz w:val="20"/>
        </w:rPr>
        <w:t>(Введены дополнительно, Изм. № 4).</w:t>
      </w:r>
      <w:r>
        <w:rPr>
          <w:rFonts w:ascii="Times New Roman CYR" w:hAnsi="Times New Roman CYR"/>
          <w:sz w:val="20"/>
        </w:rPr>
        <w:t xml:space="preserve">  </w:t>
      </w:r>
    </w:p>
    <w:sectPr w:rsidR="00684954">
      <w:pgSz w:w="11907" w:h="16840" w:code="9"/>
      <w:pgMar w:top="1440" w:right="1797" w:bottom="1440" w:left="179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E8"/>
    <w:rsid w:val="004901E8"/>
    <w:rsid w:val="0068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2117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12.2.007.3-75</vt:lpstr>
    </vt:vector>
  </TitlesOfParts>
  <Company>Microsoft</Company>
  <LinksUpToDate>false</LinksUpToDate>
  <CharactersWithSpaces>14159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12.2.007.3-75</dc:title>
  <dc:creator>Windows User</dc:creator>
  <cp:lastModifiedBy>Windows User</cp:lastModifiedBy>
  <cp:revision>2</cp:revision>
  <dcterms:created xsi:type="dcterms:W3CDTF">2018-05-14T01:14:00Z</dcterms:created>
  <dcterms:modified xsi:type="dcterms:W3CDTF">2018-05-14T01:14:00Z</dcterms:modified>
</cp:coreProperties>
</file>