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D" w:rsidRDefault="0035632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12.2.007.2-75*</w:t>
      </w:r>
    </w:p>
    <w:p w:rsidR="0035632D" w:rsidRDefault="0035632D">
      <w:pPr>
        <w:pStyle w:val="Preformat"/>
        <w:rPr>
          <w:rFonts w:ascii="Times New Roman" w:hAnsi="Times New Roman"/>
        </w:rPr>
      </w:pPr>
    </w:p>
    <w:p w:rsidR="0035632D" w:rsidRDefault="0035632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621.314.222.6:658.382.3:006.354+621.318.4:658.382.3:006.354                              Группа Т58</w:t>
      </w:r>
    </w:p>
    <w:p w:rsidR="0035632D" w:rsidRDefault="0035632D">
      <w:pPr>
        <w:jc w:val="right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ТРАНСФОРМАТОРЫ СИЛОВЫЕ И РЕАКТОРЫ ЭЛЕКТРИЧЕСКИЕ</w:t>
      </w: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безопасности</w:t>
      </w: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Occupation safety standards system.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Safety requirements.</w:t>
      </w:r>
    </w:p>
    <w:p w:rsidR="0035632D" w:rsidRDefault="0035632D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Power transformers and reactors</w:t>
      </w:r>
    </w:p>
    <w:p w:rsidR="0035632D" w:rsidRDefault="0035632D">
      <w:pPr>
        <w:pStyle w:val="Heading"/>
        <w:jc w:val="center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Постановлением Государственного комитета стандартов Совета Министров СССР от 10 сентября 1975 г. № 2368 дата введения установлена</w:t>
      </w:r>
    </w:p>
    <w:p w:rsidR="0035632D" w:rsidRDefault="0035632D">
      <w:pPr>
        <w:ind w:firstLine="284"/>
        <w:jc w:val="righ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01.01.78</w:t>
      </w:r>
    </w:p>
    <w:p w:rsidR="0035632D" w:rsidRDefault="0035632D">
      <w:pPr>
        <w:ind w:firstLine="284"/>
        <w:jc w:val="right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35632D" w:rsidRDefault="0035632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ИЗДАНИЕ (август 2001 г.) с Изменением № 1, утвержденным в мае 1983 г. (ИУС 8-83).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силовые трансформаторы (в том числе автотрансформаторы) и электрические реакторы, предназначенные для работы в электрических устройствах и сетях переменного тока частоты 50 и 60 Гц.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требования безопасности к конструкции силовых трансформаторов и реакторов.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бетонные реакторы.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Трансформаторы и реакторы должны соответствовать требованиям настоящего стандарта и ГОСТ 12.2.007.0-75.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СУХИМ ОДНОФАЗНЫМ ТРАНСФОРМАТОРАМ МОЩНОСТЬЮ до 4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ВКЛЮЧИТЕЛЬНО И ТРЕХФАЗНЫМ МОЩНОСТЬЮ до 5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ВКЛЮЧИТЕЛЬНО ОБЩЕГО НАЗНАЧЕНИЯ НА НАПРЯЖЕНИЕ до 1000 В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Трансформаторы, кроме встроенных, должны выполняться класса защиты I или II по ГОСТ 12.2.007.0-75 и иметь степень защиты не ниже IP20 по ГОСТ 14254-96. Стационарные трансформаторы допускается изготовлять со степенью защиты IP00.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трансформаторах класса защиты II должна быть исключена возможность электрического соединения защитных вводных втулок и металлических защитных оболочек наружных присоединительных проводов с доступными для прикосновения металлическими частями трансформаторов.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Трансформаторы, снабженные оболочками, могут иметь отверстия для доступа к токоведущим частям, если это необходимо для эксплуатации трансформаторов. Эти отверстия должны быть постоянно закрыты и открываться специальным ключом или иметь блокировку, не допускающую включения трансформатора при открытом отверстии.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Все доступные для прикосновения токопроводящие детали, кроме частей, находящихся под напряжением, в трансформаторах класса защиты I должны быть соединены с элементами, предназначенными для заземления.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Место вывода </w:t>
      </w:r>
      <w:proofErr w:type="spellStart"/>
      <w:r>
        <w:rPr>
          <w:rFonts w:ascii="Times New Roman" w:hAnsi="Times New Roman"/>
          <w:sz w:val="20"/>
        </w:rPr>
        <w:t>нейтрали</w:t>
      </w:r>
      <w:proofErr w:type="spellEnd"/>
      <w:r>
        <w:rPr>
          <w:rFonts w:ascii="Times New Roman" w:hAnsi="Times New Roman"/>
          <w:sz w:val="20"/>
        </w:rPr>
        <w:t xml:space="preserve"> трехфазных трансформаторов обозначается буквой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>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Штепсельные вилки с заземляющим контактом, применяемые для трансформаторов, должны быть по ГОСТ 7396.0-89.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2.5. Минимальные воздушные зазоры и пути утечки тока по изоляции между различными частями трансформатора должны соответствовать указанным в таблице.</w:t>
      </w:r>
    </w:p>
    <w:p w:rsidR="0035632D" w:rsidRDefault="0035632D">
      <w:pPr>
        <w:ind w:firstLine="225"/>
        <w:jc w:val="both"/>
        <w:rPr>
          <w:rFonts w:ascii="Times New Roman" w:hAnsi="Times New Roman"/>
          <w:sz w:val="20"/>
        </w:rPr>
        <w:sectPr w:rsidR="0035632D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73"/>
        <w:gridCol w:w="507"/>
        <w:gridCol w:w="508"/>
        <w:gridCol w:w="430"/>
        <w:gridCol w:w="430"/>
        <w:gridCol w:w="430"/>
        <w:gridCol w:w="430"/>
        <w:gridCol w:w="430"/>
        <w:gridCol w:w="430"/>
        <w:gridCol w:w="430"/>
        <w:gridCol w:w="462"/>
        <w:gridCol w:w="698"/>
        <w:gridCol w:w="779"/>
        <w:gridCol w:w="860"/>
        <w:gridCol w:w="860"/>
        <w:gridCol w:w="891"/>
      </w:tblGrid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85" w:type="dxa"/>
            <w:gridSpan w:val="10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утечки, мм, не менее</w:t>
            </w:r>
          </w:p>
        </w:tc>
        <w:tc>
          <w:tcPr>
            <w:tcW w:w="4087" w:type="dxa"/>
            <w:gridSpan w:val="5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Воздушные зазоры, мм, не менее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утечки и воздушные зазоры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защиты по</w:t>
            </w:r>
          </w:p>
        </w:tc>
        <w:tc>
          <w:tcPr>
            <w:tcW w:w="8571" w:type="dxa"/>
            <w:gridSpan w:val="15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напряжение, В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12.2.007.0-75</w:t>
            </w:r>
          </w:p>
        </w:tc>
        <w:tc>
          <w:tcPr>
            <w:tcW w:w="1015" w:type="dxa"/>
            <w:gridSpan w:val="2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42</w:t>
            </w:r>
          </w:p>
        </w:tc>
        <w:tc>
          <w:tcPr>
            <w:tcW w:w="860" w:type="dxa"/>
            <w:gridSpan w:val="2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42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</w:tc>
        <w:tc>
          <w:tcPr>
            <w:tcW w:w="860" w:type="dxa"/>
            <w:gridSpan w:val="2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380</w:t>
            </w:r>
          </w:p>
        </w:tc>
        <w:tc>
          <w:tcPr>
            <w:tcW w:w="860" w:type="dxa"/>
            <w:gridSpan w:val="2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380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660</w:t>
            </w:r>
          </w:p>
        </w:tc>
        <w:tc>
          <w:tcPr>
            <w:tcW w:w="891" w:type="dxa"/>
            <w:gridSpan w:val="2"/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660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</w:t>
            </w:r>
          </w:p>
        </w:tc>
        <w:tc>
          <w:tcPr>
            <w:tcW w:w="698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42</w:t>
            </w:r>
          </w:p>
        </w:tc>
        <w:tc>
          <w:tcPr>
            <w:tcW w:w="779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Св.42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</w:tc>
        <w:tc>
          <w:tcPr>
            <w:tcW w:w="86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380</w:t>
            </w:r>
          </w:p>
        </w:tc>
        <w:tc>
          <w:tcPr>
            <w:tcW w:w="86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380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660</w:t>
            </w:r>
          </w:p>
        </w:tc>
        <w:tc>
          <w:tcPr>
            <w:tcW w:w="891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660</w:t>
            </w:r>
          </w:p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507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</w:t>
            </w:r>
          </w:p>
        </w:tc>
        <w:tc>
          <w:tcPr>
            <w:tcW w:w="430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462" w:type="dxa"/>
          </w:tcPr>
          <w:p w:rsidR="0035632D" w:rsidRDefault="0035632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</w:t>
            </w:r>
          </w:p>
        </w:tc>
        <w:tc>
          <w:tcPr>
            <w:tcW w:w="698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bottom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Между токоведущими частями одной обмотки с разным потенциалом</w:t>
            </w:r>
          </w:p>
        </w:tc>
        <w:tc>
          <w:tcPr>
            <w:tcW w:w="2173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507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2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8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0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Между токоведущими частями 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первичной цепи и доступными токопроводящими частями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Между токоведущими частями 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вторичной цепи и доступными токопроводящими частями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Между токоведущими частями 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первичной и вторичной цепей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bottom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Между токоведущими частями разных вторичных цепей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56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</w:tcBorders>
          </w:tcPr>
          <w:p w:rsidR="0035632D" w:rsidRDefault="0035632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Между токопроводящими частями, разделенными промежуточной защитной изоляцией, которые в случае повреждения могут находиться под напряжением</w:t>
            </w:r>
          </w:p>
        </w:tc>
        <w:tc>
          <w:tcPr>
            <w:tcW w:w="2173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07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3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2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8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9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91" w:type="dxa"/>
            <w:tcBorders>
              <w:top w:val="nil"/>
            </w:tcBorders>
          </w:tcPr>
          <w:p w:rsidR="0035632D" w:rsidRDefault="003563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35632D" w:rsidRDefault="0035632D">
      <w:pPr>
        <w:pStyle w:val="Preformat"/>
        <w:rPr>
          <w:rFonts w:ascii="Times New Roman" w:hAnsi="Times New Roman"/>
        </w:rPr>
      </w:pPr>
    </w:p>
    <w:p w:rsidR="0035632D" w:rsidRDefault="0035632D">
      <w:pPr>
        <w:ind w:firstLine="2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Примечания:</w:t>
      </w:r>
    </w:p>
    <w:p w:rsidR="0035632D" w:rsidRDefault="0035632D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Указанные в таблице значения не относятся к внутреннему построению обмоток, а также изоляционным расстояниям между обмотками и </w:t>
      </w:r>
      <w:proofErr w:type="spellStart"/>
      <w:r>
        <w:rPr>
          <w:rFonts w:ascii="Times New Roman" w:hAnsi="Times New Roman"/>
        </w:rPr>
        <w:t>магнитопроводом</w:t>
      </w:r>
      <w:proofErr w:type="spellEnd"/>
      <w:r>
        <w:rPr>
          <w:rFonts w:ascii="Times New Roman" w:hAnsi="Times New Roman"/>
        </w:rPr>
        <w:t>.</w:t>
      </w:r>
    </w:p>
    <w:p w:rsidR="0035632D" w:rsidRDefault="0035632D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Пути утечки, указанные в графах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, относятся к неорганическим изоляционным материалам (например, керамические материалы, стекло), а пути утечки, указанные в графах </w:t>
      </w:r>
      <w:r>
        <w:rPr>
          <w:rFonts w:ascii="Times New Roman" w:hAnsi="Times New Roman"/>
          <w:i/>
        </w:rPr>
        <w:t>б</w:t>
      </w:r>
      <w:r>
        <w:rPr>
          <w:rFonts w:ascii="Times New Roman" w:hAnsi="Times New Roman"/>
        </w:rPr>
        <w:t xml:space="preserve">, - к органическим материалам (например, </w:t>
      </w:r>
      <w:proofErr w:type="spellStart"/>
      <w:r>
        <w:rPr>
          <w:rFonts w:ascii="Times New Roman" w:hAnsi="Times New Roman"/>
        </w:rPr>
        <w:t>гетинакс</w:t>
      </w:r>
      <w:proofErr w:type="spellEnd"/>
      <w:r>
        <w:rPr>
          <w:rFonts w:ascii="Times New Roman" w:hAnsi="Times New Roman"/>
        </w:rPr>
        <w:t>, текстолит на основе фенольных смол).</w:t>
      </w:r>
    </w:p>
    <w:p w:rsidR="0035632D" w:rsidRDefault="0035632D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части изоляционных расстояний вся обмотка автотрансформатора рассматривается как входная цепь.</w:t>
      </w:r>
    </w:p>
    <w:p w:rsidR="0035632D" w:rsidRDefault="0035632D">
      <w:pPr>
        <w:pStyle w:val="Preformat"/>
        <w:rPr>
          <w:rFonts w:ascii="Times New Roman" w:hAnsi="Times New Roman"/>
        </w:rPr>
        <w:sectPr w:rsidR="0035632D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2.6. При необходимости иметь в кожухе трансформатора отверстия, которые остаются открытыми при работе (например, вентиляционные отверстия), их следует выполнять по ГОСТ 14254-96.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Трансформаторы, рассчитанные на включение в сети с разными номинальными напряжениями, должны иметь указатель положения переключателя напряжения либо маркировку зажимов, указывающую напряжение соответствующих сетей.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Кроме технических данных, которые указываются в стандартах или технических условиях на конкретные виды, серии или типы трансформаторов, маркировкой должно предусматриваться: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обозначение положений включения и регулирования для встроенных устройств регулирования;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класс защиты трансформатора по ГОСТ 12.2.007.0-75;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ток плавкой вставки предохранителя (только для трансформаторов, условно стойких к короткому замыканию);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степень защиты по ГОСТ 12.2.007.0-75.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ОДНОФАЗНЫМ ТРАНСФОРМАТОРАМ</w:t>
      </w: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МОЩНОСТЬЮ СВЫШЕ 4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А, ТРЕХФАЗНЫМ МОЩНОСТЬЮ</w:t>
      </w: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СВЫШЕ 5 кВ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ЭЛЕКТРИЧЕСКИМ РЕАКТОРАМ</w:t>
      </w:r>
    </w:p>
    <w:p w:rsidR="0035632D" w:rsidRDefault="0035632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Трансформаторы и реакторы, для которых стандартами или техническими условиями предусмотрено наличие устройств защиты и сигнализации или встроенных трансформаторов тока, должны снабжаться коробкой зажимов и проводкой от этих устройств до коробки зажимов. В коробке зажимов должны быть предусмотрены специальные зажимы, позволяющие </w:t>
      </w:r>
      <w:proofErr w:type="spellStart"/>
      <w:r>
        <w:rPr>
          <w:rFonts w:ascii="Times New Roman" w:hAnsi="Times New Roman"/>
          <w:sz w:val="20"/>
        </w:rPr>
        <w:t>закорачивать</w:t>
      </w:r>
      <w:proofErr w:type="spellEnd"/>
      <w:r>
        <w:rPr>
          <w:rFonts w:ascii="Times New Roman" w:hAnsi="Times New Roman"/>
          <w:sz w:val="20"/>
        </w:rPr>
        <w:t xml:space="preserve"> вторичные цепи трансформаторов тока.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коробке зажимов должно предусматриваться наличие электрической схемы соединений и необходимой маркировки зажимов, наносимых, например, на специальной табличке.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трансформаторах или реакторах встроенных трансформаторов тока, на корпусе коробки зажимов должна быть надпись: "Внимание! Опасно! На зажимах разомкнутой обмотки напряжение".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Трансформаторы и реакторы с выпуклой фасонной крышкой должны иметь приварные упоры, позволяющие стоять на крышке, и приспособления для закрепления средств, обеспечивающих безопасность при выполнении работ на крышке при монтаже, ремонте и осмотре.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Трансформаторы и реакторы, имеющие высоту от уровня головки рельс до крышки бака 3 м или более, должны снабжаться лестницей с уклоном не более 75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 Местоположение лестницы должно обеспечивать безопасный доступ к газовому реле при работающем трансформаторе (реакторе).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лестницы должна быть площадка шириной не менее 30 см, совмещенная с лестницей или прикрепленная к баку, позволяющая обслуживать газовое реле двумя руками. Лестница должна иметь трубчатые перила диаметром 20-40 мм.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масляных трансформаторах и реакторах должны быть предусмотрены меры, уменьшающие до нормативной величины опасность возникновения пожара при аварии путем: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выхлопа масла из предохранительной трубы (устройства) в сторону от токоведущих частей, шкафов управления и конструкций;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автоматического перекрытия трубопровода от расширителя к баку при аварийном отключении трансформаторов и реакторов мощностью от 100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более.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Внешние токоведущие части переключающих устройств трансформаторов и ректоров, находящихся под напряжением свыше 1000 В, должны быть окрашены в красный цвет.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Трансформаторы и реакторы должны снабжаться элементами для заземления, расположенными в доступном месте нижней части бака или остова (если бак отсутствует).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Масляные трансформаторы и реакторы мощностью 1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>А и более, имеющие расширитель, должны снабжаться газовым реле, реагирующим на повреждения внутри бака, сопровождающееся выделением газа.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Масляные трансформаторы и реакторы мощностью 1 МВ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А и более с расширителем </w:t>
      </w:r>
      <w:r>
        <w:rPr>
          <w:rFonts w:ascii="Times New Roman" w:hAnsi="Times New Roman"/>
          <w:sz w:val="20"/>
        </w:rPr>
        <w:lastRenderedPageBreak/>
        <w:t>должны быть снабжены не менее чем одним защитным устройством, предупреждающим повреждение бака при внезапном повышении внутреннего давления более 50 кПа (</w:t>
      </w:r>
      <w:r>
        <w:rPr>
          <w:rFonts w:ascii="Times New Roman" w:hAnsi="Times New Roman"/>
          <w:sz w:val="20"/>
        </w:rPr>
        <w:sym w:font="Symbol" w:char="F0BB"/>
      </w:r>
      <w:r>
        <w:rPr>
          <w:rFonts w:ascii="Times New Roman" w:hAnsi="Times New Roman"/>
          <w:sz w:val="20"/>
        </w:rPr>
        <w:t xml:space="preserve"> 0,5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Масляные трансформаторы, трансформаторы с жидким диэлектриком с азотной подушкой и реакторы без расширителя должны быть снабжены защитным устройством, срабатывающим при повышении внутреннего давления более 75 кПа (</w:t>
      </w:r>
      <w:r>
        <w:rPr>
          <w:rFonts w:ascii="Times New Roman" w:hAnsi="Times New Roman"/>
          <w:sz w:val="20"/>
        </w:rPr>
        <w:sym w:font="Symbol" w:char="F0BB"/>
      </w:r>
      <w:r>
        <w:rPr>
          <w:rFonts w:ascii="Times New Roman" w:hAnsi="Times New Roman"/>
          <w:sz w:val="20"/>
        </w:rPr>
        <w:t xml:space="preserve"> 0,75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Защитное устройство должно обеспечивать выброс масла вниз. Масло не должно попадать на лестницу. Зона выброса масла не должна захватывать места расположения приборов, требующих обслуживания при эксплуатации.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Указатели уровня масла, газовые реле, кран для отбора пробы масла масляных трансформаторов и реакторов и другие приборы должны быть расположены таким образом, чтобы были обеспечены удобные и безопасные условия для доступа к ним и наблюдения за ними без снятия напряжения.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Степень защиты оболочки приводного механизма переключающего устройства трансформатора или реактора должна выбираться по ГОСТ 14254-96.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части переключающего устройства, погруженные в трансформаторное масло, степени защиты не устанавливаются.</w:t>
      </w:r>
    </w:p>
    <w:p w:rsidR="0035632D" w:rsidRDefault="0035632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Корпус приводного механизма переключающего устройства должен быть снабжен элементом для заземления.</w:t>
      </w:r>
    </w:p>
    <w:sectPr w:rsidR="0035632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0"/>
    <w:rsid w:val="0001685E"/>
    <w:rsid w:val="0035632D"/>
    <w:rsid w:val="007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2018-05-14T01:14:00Z</dcterms:created>
  <dcterms:modified xsi:type="dcterms:W3CDTF">2018-05-14T01:14:00Z</dcterms:modified>
</cp:coreProperties>
</file>